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EC" w:rsidRPr="006E58EC" w:rsidRDefault="006E58EC" w:rsidP="00A44C1F">
      <w:p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 xml:space="preserve">Do zakresu działań Wydziału Organizacyjno-Administracyjnego należy: </w:t>
      </w:r>
    </w:p>
    <w:p w:rsidR="006E58EC" w:rsidRPr="006E58EC" w:rsidRDefault="006E58EC" w:rsidP="00A44C1F">
      <w:p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</w:p>
    <w:p w:rsidR="006E58EC" w:rsidRPr="006E58EC" w:rsidRDefault="006E58EC" w:rsidP="00A44C1F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prowadzenie gospodarki finansowej;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opracowywanie planów dochodów i wydatków budżetowych oraz zakupów inwestycyjnych;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sporządzanie sprawozdań budżetowych, finansowych i statystycznych;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prowadzenie spraw rachunkowo-kasowych, operacji bankowych i księgowości;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prowadzenie spraw związanych z wynagradzaniem pracowników;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rozliczanie delegacji służbowych pracowników;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>
        <w:rPr>
          <w:rFonts w:ascii="Verdana" w:eastAsia="Times New Roman" w:hAnsi="Verdana" w:cs="Times New Roman"/>
          <w:sz w:val="24"/>
          <w:szCs w:val="20"/>
          <w:lang w:eastAsia="pl-PL"/>
        </w:rPr>
        <w:t xml:space="preserve">prowadzenie spraw związanych z </w:t>
      </w: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obsługą sekretariatu, archiwum oraz samochodów służbowych;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prowadzenie rejestru skarg i wniosków;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prowadzenie spraw osobowych, socjalno-bytowych i BHP pracowników;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prowadzenie spraw szkolenia zawodowego pracowników;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prowadzenie spraw związanych z zamówieniami publicznymi i zaopatrzeniem jednostki;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przygotowanie techniczne narad i szkoleń;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prowadzenie ewidencji środków trwałych;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przygotowywanie projektów zarządzeń, umów;</w:t>
      </w:r>
    </w:p>
    <w:p w:rsidR="006E58EC" w:rsidRPr="006E58EC" w:rsidRDefault="006E58EC" w:rsidP="00A44C1F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Times New Roman"/>
          <w:sz w:val="24"/>
          <w:szCs w:val="20"/>
          <w:lang w:eastAsia="pl-PL"/>
        </w:rPr>
      </w:pPr>
      <w:r w:rsidRPr="006E58EC">
        <w:rPr>
          <w:rFonts w:ascii="Verdana" w:eastAsia="Times New Roman" w:hAnsi="Verdana" w:cs="Times New Roman"/>
          <w:sz w:val="24"/>
          <w:szCs w:val="20"/>
          <w:lang w:eastAsia="pl-PL"/>
        </w:rPr>
        <w:t>prowadzenie nadzoru nad przestrzeganiem przepisów prawa pracy, porządku i dyscypliny pracy;</w:t>
      </w:r>
    </w:p>
    <w:p w:rsidR="005648FD" w:rsidRPr="006E58EC" w:rsidRDefault="006E58EC" w:rsidP="00A44C1F">
      <w:pPr>
        <w:pStyle w:val="Akapitzlist"/>
        <w:numPr>
          <w:ilvl w:val="0"/>
          <w:numId w:val="2"/>
        </w:numPr>
        <w:rPr>
          <w:rFonts w:ascii="Verdana" w:hAnsi="Verdana"/>
          <w:sz w:val="24"/>
          <w:szCs w:val="24"/>
        </w:rPr>
      </w:pPr>
      <w:r w:rsidRPr="006E58EC">
        <w:rPr>
          <w:rFonts w:ascii="Verdana" w:hAnsi="Verdana"/>
          <w:sz w:val="24"/>
          <w:szCs w:val="24"/>
          <w:lang w:eastAsia="pl-PL"/>
        </w:rPr>
        <w:t>wykonywanie innych prac zlecanych przez Wojewódzkiego Inspektora lub jego Zastępc</w:t>
      </w:r>
      <w:bookmarkStart w:id="0" w:name="_GoBack"/>
      <w:bookmarkEnd w:id="0"/>
      <w:r w:rsidRPr="006E58EC">
        <w:rPr>
          <w:rFonts w:ascii="Verdana" w:hAnsi="Verdana"/>
          <w:sz w:val="24"/>
          <w:szCs w:val="24"/>
          <w:lang w:eastAsia="pl-PL"/>
        </w:rPr>
        <w:t>ę.</w:t>
      </w:r>
    </w:p>
    <w:sectPr w:rsidR="005648FD" w:rsidRPr="006E58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0D2F0F"/>
    <w:multiLevelType w:val="hybridMultilevel"/>
    <w:tmpl w:val="2F0890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E42A2C"/>
    <w:multiLevelType w:val="hybridMultilevel"/>
    <w:tmpl w:val="ED709C6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8EC"/>
    <w:rsid w:val="005648FD"/>
    <w:rsid w:val="006E58EC"/>
    <w:rsid w:val="00A4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0EEB8D-8487-4847-A8C5-261C69A52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58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2020-08-07T08:43:00Z</dcterms:created>
  <dcterms:modified xsi:type="dcterms:W3CDTF">2020-08-07T08:58:00Z</dcterms:modified>
</cp:coreProperties>
</file>