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CBE" w:rsidRPr="007E2CBE" w:rsidRDefault="007E2CBE" w:rsidP="007E2CBE">
      <w:pPr>
        <w:pStyle w:val="Nagwek1"/>
        <w:spacing w:line="360" w:lineRule="auto"/>
        <w:rPr>
          <w:rFonts w:ascii="Verdana" w:eastAsia="Times New Roman" w:hAnsi="Verdana"/>
          <w:color w:val="auto"/>
          <w:sz w:val="28"/>
          <w:szCs w:val="28"/>
          <w:lang w:eastAsia="pl-PL"/>
        </w:rPr>
      </w:pPr>
      <w:r w:rsidRPr="007E2CBE">
        <w:rPr>
          <w:rFonts w:ascii="Verdana" w:eastAsia="Times New Roman" w:hAnsi="Verdana"/>
          <w:color w:val="auto"/>
          <w:sz w:val="28"/>
          <w:szCs w:val="28"/>
          <w:lang w:eastAsia="pl-PL"/>
        </w:rPr>
        <w:t>Zadania i kompetencje</w:t>
      </w:r>
      <w:r w:rsidR="00284587">
        <w:rPr>
          <w:rFonts w:ascii="Verdana" w:eastAsia="Times New Roman" w:hAnsi="Verdana"/>
          <w:color w:val="auto"/>
          <w:sz w:val="28"/>
          <w:szCs w:val="28"/>
          <w:lang w:eastAsia="pl-PL"/>
        </w:rPr>
        <w:t xml:space="preserve"> Inspekcji</w:t>
      </w:r>
    </w:p>
    <w:p w:rsidR="007E2CBE" w:rsidRPr="007E2CBE" w:rsidRDefault="007E2CBE" w:rsidP="007E2CBE">
      <w:pPr>
        <w:pStyle w:val="Akapitzlist"/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Nadzór nad jakością handlową artykułów rolno–spożywczych, a w szczególności:</w:t>
      </w:r>
    </w:p>
    <w:p w:rsidR="007E2CBE" w:rsidRPr="007E2CBE" w:rsidRDefault="007E2CBE" w:rsidP="007E2CB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kontrola jakości handlowej artykułów rolno–spożywczych w produkcji i obrocie, w tym wywożonych za granicę,</w:t>
      </w:r>
    </w:p>
    <w:p w:rsidR="007E2CBE" w:rsidRPr="007E2CBE" w:rsidRDefault="007E2CBE" w:rsidP="007E2CB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kontrola jakości handlowej artykułów rolno–spożywczych sprowadzanych z zagranicy,</w:t>
      </w:r>
    </w:p>
    <w:p w:rsidR="007E2CBE" w:rsidRPr="007E2CBE" w:rsidRDefault="007E2CBE" w:rsidP="007E2CB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dokonywanie oceny i wydawanie świadectw jakości handlowej artykułów rolno–spożywczych,</w:t>
      </w:r>
    </w:p>
    <w:p w:rsidR="007E2CBE" w:rsidRPr="007E2CBE" w:rsidRDefault="007E2CBE" w:rsidP="007E2CB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powiadamianie podpunktu krajowego punktu kontaktowego w ramach sieci systemu wczesnego ostrzegania o niebezpiecznej żywności i paszach (system RASFF) o podjętych decyzjach dotyczących niebezpiecznych artykułów rolno–spożywczych,</w:t>
      </w:r>
    </w:p>
    <w:p w:rsidR="007E2CBE" w:rsidRPr="007E2CBE" w:rsidRDefault="007E2CBE" w:rsidP="007E2CB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kontrola artykułów rolno–spożywczych, wyrobów winiarskich i wyrobów spirytusowych posiadających zarejestrowane, na podstawie odrębnych przepisów, chronione oznaczenia geograficzne, chronione nazwy pochodzenia albo gwarantowaną tradycyjną specjalność,</w:t>
      </w:r>
    </w:p>
    <w:p w:rsidR="007E2CBE" w:rsidRPr="007E2CBE" w:rsidRDefault="007E2CBE" w:rsidP="007E2CB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kontrola oznakowania artykułu rolno-spożywczego informacją „produkt górski”,</w:t>
      </w:r>
    </w:p>
    <w:p w:rsidR="007E2CBE" w:rsidRPr="007E2CBE" w:rsidRDefault="007E2CBE" w:rsidP="007E2CB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kontrola oznakowania artykułu rolno-spożywczego informacją „Produkt Polski”,</w:t>
      </w:r>
    </w:p>
    <w:p w:rsidR="007E2CBE" w:rsidRPr="007E2CBE" w:rsidRDefault="007E2CBE" w:rsidP="007E2CB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kontrola żywności w rolniczym handlu detalicznym,</w:t>
      </w:r>
    </w:p>
    <w:p w:rsidR="007E2CBE" w:rsidRPr="007E2CBE" w:rsidRDefault="007E2CBE" w:rsidP="00025749">
      <w:pPr>
        <w:numPr>
          <w:ilvl w:val="0"/>
          <w:numId w:val="2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kontrola oznakowania produktów GMO;</w:t>
      </w:r>
    </w:p>
    <w:p w:rsidR="007E2CBE" w:rsidRDefault="007E2CBE" w:rsidP="00FF1FE3">
      <w:pPr>
        <w:pStyle w:val="Akapitzlist"/>
        <w:numPr>
          <w:ilvl w:val="0"/>
          <w:numId w:val="17"/>
        </w:numPr>
        <w:spacing w:before="100" w:beforeAutospacing="1" w:after="240" w:line="360" w:lineRule="auto"/>
        <w:ind w:left="357" w:hanging="357"/>
        <w:contextualSpacing w:val="0"/>
        <w:rPr>
          <w:rFonts w:ascii="Verdana" w:hAnsi="Verdana"/>
          <w:sz w:val="24"/>
          <w:szCs w:val="24"/>
        </w:rPr>
      </w:pPr>
      <w:r w:rsidRPr="00025749">
        <w:rPr>
          <w:rFonts w:ascii="Verdana" w:hAnsi="Verdana"/>
          <w:sz w:val="24"/>
          <w:szCs w:val="24"/>
        </w:rPr>
        <w:t>Kontrola warunków składowania i transportu artykułów rolno–spożywczych;</w:t>
      </w:r>
    </w:p>
    <w:p w:rsidR="007E2CBE" w:rsidRPr="00025749" w:rsidRDefault="007E2CBE" w:rsidP="00FF1FE3">
      <w:pPr>
        <w:pStyle w:val="Akapitzlist"/>
        <w:numPr>
          <w:ilvl w:val="0"/>
          <w:numId w:val="17"/>
        </w:numPr>
        <w:spacing w:before="100" w:beforeAutospacing="1" w:after="240" w:line="360" w:lineRule="auto"/>
        <w:ind w:left="357" w:hanging="357"/>
        <w:contextualSpacing w:val="0"/>
        <w:rPr>
          <w:rFonts w:ascii="Verdana" w:hAnsi="Verdana"/>
          <w:sz w:val="24"/>
          <w:szCs w:val="24"/>
        </w:rPr>
      </w:pPr>
      <w:r w:rsidRPr="00025749">
        <w:rPr>
          <w:rFonts w:ascii="Verdana" w:hAnsi="Verdana"/>
          <w:sz w:val="24"/>
          <w:szCs w:val="24"/>
        </w:rPr>
        <w:t xml:space="preserve">Kontrola jakości handlowej artykułów rolno–spożywczych w produkcji, dotycząca specyficznego sposobu żywienia i warunków chowu zwierząt; </w:t>
      </w:r>
      <w:r w:rsidRPr="00025749">
        <w:rPr>
          <w:rFonts w:ascii="Verdana" w:hAnsi="Verdana"/>
          <w:sz w:val="24"/>
          <w:szCs w:val="24"/>
        </w:rPr>
        <w:lastRenderedPageBreak/>
        <w:t>jeżeli informacja w tym zakresie została zadeklarowana przy wprowadzaniu artykułu rolno–spożywczego do obrotu;</w:t>
      </w:r>
    </w:p>
    <w:p w:rsidR="007E2CBE" w:rsidRPr="00025749" w:rsidRDefault="007E2CBE" w:rsidP="00FF1FE3">
      <w:pPr>
        <w:pStyle w:val="Akapitzlist"/>
        <w:numPr>
          <w:ilvl w:val="0"/>
          <w:numId w:val="17"/>
        </w:numPr>
        <w:spacing w:before="100" w:beforeAutospacing="1" w:after="240" w:line="360" w:lineRule="auto"/>
        <w:ind w:left="357" w:hanging="357"/>
        <w:contextualSpacing w:val="0"/>
        <w:rPr>
          <w:rFonts w:ascii="Verdana" w:hAnsi="Verdana"/>
          <w:sz w:val="24"/>
          <w:szCs w:val="24"/>
          <w:lang w:eastAsia="pl-PL"/>
        </w:rPr>
      </w:pPr>
      <w:r w:rsidRPr="00025749">
        <w:rPr>
          <w:rFonts w:ascii="Verdana" w:hAnsi="Verdana"/>
          <w:sz w:val="24"/>
          <w:szCs w:val="24"/>
          <w:lang w:eastAsia="pl-PL"/>
        </w:rPr>
        <w:t>Kontrola prawidłowości wprowadzania do obrotu i oznakowania materiałów i wyrobów przeznaczonych do kontaktu z żywnością;</w:t>
      </w:r>
    </w:p>
    <w:p w:rsidR="007E2CBE" w:rsidRPr="00025749" w:rsidRDefault="007E2CBE" w:rsidP="00FF1FE3">
      <w:pPr>
        <w:pStyle w:val="Akapitzlist"/>
        <w:numPr>
          <w:ilvl w:val="0"/>
          <w:numId w:val="17"/>
        </w:numPr>
        <w:spacing w:before="100" w:beforeAutospacing="1" w:after="240" w:line="360" w:lineRule="auto"/>
        <w:ind w:left="357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749">
        <w:rPr>
          <w:rFonts w:ascii="Verdana" w:eastAsia="Times New Roman" w:hAnsi="Verdana" w:cs="Times New Roman"/>
          <w:sz w:val="24"/>
          <w:szCs w:val="24"/>
          <w:lang w:eastAsia="pl-PL"/>
        </w:rPr>
        <w:t>Nadzór w zakresie jakości handlowej określonej przepisami Unii Europejskiej odnoszącymi się do: mięsa drobiowego, jaj, tusz wieprzowych, tusz wołowych, tusz innych zwierząt i mięsa pochodzącego z bydła poniżej 12 miesiąca życia;</w:t>
      </w:r>
    </w:p>
    <w:p w:rsidR="007E2CBE" w:rsidRPr="00025749" w:rsidRDefault="007E2CBE" w:rsidP="00FF1FE3">
      <w:pPr>
        <w:pStyle w:val="Akapitzlist"/>
        <w:numPr>
          <w:ilvl w:val="0"/>
          <w:numId w:val="17"/>
        </w:numPr>
        <w:spacing w:before="100" w:beforeAutospacing="1" w:after="240" w:line="360" w:lineRule="auto"/>
        <w:ind w:left="357" w:hanging="357"/>
        <w:contextualSpacing w:val="0"/>
        <w:rPr>
          <w:rFonts w:ascii="Verdana" w:hAnsi="Verdana"/>
          <w:sz w:val="24"/>
          <w:szCs w:val="24"/>
          <w:lang w:eastAsia="pl-PL"/>
        </w:rPr>
      </w:pPr>
      <w:r w:rsidRPr="00025749">
        <w:rPr>
          <w:rFonts w:ascii="Verdana" w:hAnsi="Verdana"/>
          <w:sz w:val="24"/>
          <w:szCs w:val="24"/>
          <w:lang w:eastAsia="pl-PL"/>
        </w:rPr>
        <w:t>Kontrola świeżych owoców i warzyw na zgodność z przepisami Unii Europejskiej;</w:t>
      </w:r>
    </w:p>
    <w:p w:rsidR="007E2CBE" w:rsidRPr="00025749" w:rsidRDefault="007E2CBE" w:rsidP="00FF1FE3">
      <w:pPr>
        <w:pStyle w:val="Akapitzlist"/>
        <w:numPr>
          <w:ilvl w:val="0"/>
          <w:numId w:val="17"/>
        </w:numPr>
        <w:spacing w:before="100" w:beforeAutospacing="1" w:after="240" w:line="360" w:lineRule="auto"/>
        <w:ind w:left="357" w:hanging="357"/>
        <w:contextualSpacing w:val="0"/>
        <w:rPr>
          <w:rFonts w:ascii="Verdana" w:hAnsi="Verdana"/>
          <w:sz w:val="24"/>
          <w:szCs w:val="24"/>
          <w:lang w:eastAsia="pl-PL"/>
        </w:rPr>
      </w:pPr>
      <w:r w:rsidRPr="00025749">
        <w:rPr>
          <w:rFonts w:ascii="Verdana" w:hAnsi="Verdana"/>
          <w:sz w:val="24"/>
          <w:szCs w:val="24"/>
          <w:lang w:eastAsia="pl-PL"/>
        </w:rPr>
        <w:t>Kontrola w obrocie detalicznym pasz przeznaczonych dla zwierząt domowych;</w:t>
      </w:r>
    </w:p>
    <w:p w:rsidR="007E2CBE" w:rsidRPr="00025749" w:rsidRDefault="007E2CBE" w:rsidP="00FF1FE3">
      <w:pPr>
        <w:pStyle w:val="Akapitzlist"/>
        <w:numPr>
          <w:ilvl w:val="0"/>
          <w:numId w:val="17"/>
        </w:numPr>
        <w:spacing w:before="100" w:beforeAutospacing="1" w:after="240" w:line="360" w:lineRule="auto"/>
        <w:ind w:left="357" w:hanging="357"/>
        <w:contextualSpacing w:val="0"/>
        <w:rPr>
          <w:rFonts w:ascii="Verdana" w:hAnsi="Verdana"/>
          <w:sz w:val="24"/>
          <w:szCs w:val="24"/>
          <w:lang w:eastAsia="pl-PL"/>
        </w:rPr>
      </w:pPr>
      <w:r w:rsidRPr="00025749">
        <w:rPr>
          <w:rFonts w:ascii="Verdana" w:hAnsi="Verdana"/>
          <w:sz w:val="24"/>
          <w:szCs w:val="24"/>
          <w:lang w:eastAsia="pl-PL"/>
        </w:rPr>
        <w:t>Realizacja zadań objętych wspólną organizacją rynku wina na podstawie przepisów Unii Europejskiej;</w:t>
      </w:r>
    </w:p>
    <w:p w:rsidR="007E2CBE" w:rsidRPr="00025749" w:rsidRDefault="007E2CBE" w:rsidP="00FF1FE3">
      <w:pPr>
        <w:pStyle w:val="Akapitzlist"/>
        <w:numPr>
          <w:ilvl w:val="0"/>
          <w:numId w:val="17"/>
        </w:numPr>
        <w:spacing w:before="100" w:beforeAutospacing="1" w:after="240" w:line="360" w:lineRule="auto"/>
        <w:ind w:left="357" w:hanging="357"/>
        <w:contextualSpacing w:val="0"/>
        <w:rPr>
          <w:rFonts w:ascii="Verdana" w:hAnsi="Verdana"/>
          <w:sz w:val="24"/>
          <w:szCs w:val="24"/>
        </w:rPr>
      </w:pPr>
      <w:r w:rsidRPr="00025749">
        <w:rPr>
          <w:rFonts w:ascii="Verdana" w:hAnsi="Verdana"/>
          <w:sz w:val="24"/>
          <w:szCs w:val="24"/>
        </w:rPr>
        <w:t>Zwalnianie z obowiązku znakowania jaj przeznaczonych do przemysłu spożywczego;</w:t>
      </w:r>
    </w:p>
    <w:p w:rsidR="007E2CBE" w:rsidRPr="00025749" w:rsidRDefault="007E2CBE" w:rsidP="00FF1FE3">
      <w:pPr>
        <w:pStyle w:val="Akapitzlist"/>
        <w:numPr>
          <w:ilvl w:val="0"/>
          <w:numId w:val="17"/>
        </w:numPr>
        <w:spacing w:before="100" w:beforeAutospacing="1" w:after="240" w:line="360" w:lineRule="auto"/>
        <w:ind w:left="357" w:hanging="357"/>
        <w:contextualSpacing w:val="0"/>
        <w:rPr>
          <w:rFonts w:ascii="Verdana" w:hAnsi="Verdana"/>
          <w:sz w:val="24"/>
          <w:szCs w:val="24"/>
          <w:lang w:eastAsia="pl-PL"/>
        </w:rPr>
      </w:pPr>
      <w:r w:rsidRPr="00025749">
        <w:rPr>
          <w:rFonts w:ascii="Verdana" w:hAnsi="Verdana"/>
          <w:sz w:val="24"/>
          <w:szCs w:val="24"/>
          <w:lang w:eastAsia="pl-PL"/>
        </w:rPr>
        <w:t>Kontrola prawidłowości dokonanych transakcji finansowanych z Europejskiego Funduszu Rolniczego Gwarancji  realizowanych w ramach Wspólnej Polityki Rolnej;</w:t>
      </w:r>
    </w:p>
    <w:p w:rsidR="007E2CBE" w:rsidRPr="00025749" w:rsidRDefault="007E2CBE" w:rsidP="00FF1FE3">
      <w:pPr>
        <w:pStyle w:val="Akapitzlist"/>
        <w:numPr>
          <w:ilvl w:val="0"/>
          <w:numId w:val="17"/>
        </w:numPr>
        <w:spacing w:before="100" w:beforeAutospacing="1" w:after="240" w:line="360" w:lineRule="auto"/>
        <w:ind w:left="357" w:hanging="357"/>
        <w:contextualSpacing w:val="0"/>
        <w:rPr>
          <w:rFonts w:ascii="Verdana" w:hAnsi="Verdana"/>
          <w:sz w:val="24"/>
          <w:szCs w:val="24"/>
          <w:lang w:eastAsia="pl-PL"/>
        </w:rPr>
      </w:pPr>
      <w:r w:rsidRPr="00025749">
        <w:rPr>
          <w:rFonts w:ascii="Verdana" w:hAnsi="Verdana"/>
          <w:sz w:val="24"/>
          <w:szCs w:val="24"/>
          <w:lang w:eastAsia="pl-PL"/>
        </w:rPr>
        <w:t>Współpraca z właściwymi organami administracji rządowej w województwie, organami innych inspekcji, urzędami celno- skarbowymi, Policją, jednostkami samorządu terytorialnego oraz jednostkami organizacyjnymi realizującymi politykę rolną państwa;</w:t>
      </w:r>
    </w:p>
    <w:p w:rsidR="007E2CBE" w:rsidRPr="00025749" w:rsidRDefault="007E2CBE" w:rsidP="00FF1FE3">
      <w:pPr>
        <w:pStyle w:val="Akapitzlist"/>
        <w:numPr>
          <w:ilvl w:val="0"/>
          <w:numId w:val="17"/>
        </w:numPr>
        <w:spacing w:before="100" w:beforeAutospacing="1" w:after="240" w:line="360" w:lineRule="auto"/>
        <w:ind w:left="357" w:hanging="357"/>
        <w:contextualSpacing w:val="0"/>
        <w:rPr>
          <w:rFonts w:ascii="Verdana" w:hAnsi="Verdana"/>
          <w:sz w:val="24"/>
          <w:szCs w:val="24"/>
          <w:lang w:eastAsia="pl-PL"/>
        </w:rPr>
      </w:pPr>
      <w:r w:rsidRPr="00025749">
        <w:rPr>
          <w:rFonts w:ascii="Verdana" w:hAnsi="Verdana"/>
          <w:sz w:val="24"/>
          <w:szCs w:val="24"/>
          <w:lang w:eastAsia="pl-PL"/>
        </w:rPr>
        <w:t>Współpraca z jednostkami organizacyjnymi pełniącymi funkcję agencji płatniczych w zakresie realizacji Wspólnej Polityki Rolnej;</w:t>
      </w:r>
    </w:p>
    <w:p w:rsidR="007E2CBE" w:rsidRPr="00025749" w:rsidRDefault="007E2CBE" w:rsidP="00FF1FE3">
      <w:pPr>
        <w:pStyle w:val="Akapitzlist"/>
        <w:numPr>
          <w:ilvl w:val="0"/>
          <w:numId w:val="17"/>
        </w:numPr>
        <w:spacing w:before="100" w:beforeAutospacing="1" w:after="240" w:line="360" w:lineRule="auto"/>
        <w:ind w:left="357" w:hanging="357"/>
        <w:contextualSpacing w:val="0"/>
        <w:rPr>
          <w:rFonts w:ascii="Verdana" w:hAnsi="Verdana"/>
          <w:sz w:val="24"/>
          <w:szCs w:val="24"/>
          <w:lang w:eastAsia="pl-PL"/>
        </w:rPr>
      </w:pPr>
      <w:r w:rsidRPr="00025749">
        <w:rPr>
          <w:rFonts w:ascii="Verdana" w:hAnsi="Verdana"/>
          <w:sz w:val="24"/>
          <w:szCs w:val="24"/>
          <w:lang w:eastAsia="pl-PL"/>
        </w:rPr>
        <w:t>Prowadzenie rejestru rzeczoznawców i nadzór nad rzeczoznawcami;</w:t>
      </w:r>
    </w:p>
    <w:p w:rsidR="007E2CBE" w:rsidRPr="00025749" w:rsidRDefault="007E2CBE" w:rsidP="00FF1FE3">
      <w:pPr>
        <w:pStyle w:val="Akapitzlist"/>
        <w:numPr>
          <w:ilvl w:val="0"/>
          <w:numId w:val="17"/>
        </w:numPr>
        <w:spacing w:before="100" w:beforeAutospacing="1" w:after="240" w:line="360" w:lineRule="auto"/>
        <w:ind w:left="357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749">
        <w:rPr>
          <w:rFonts w:ascii="Verdana" w:eastAsia="Times New Roman" w:hAnsi="Verdana" w:cs="Times New Roman"/>
          <w:sz w:val="24"/>
          <w:szCs w:val="24"/>
          <w:lang w:eastAsia="pl-PL"/>
        </w:rPr>
        <w:t>Wykonywanie innych zadań określonych w odrębnych przepisach, a w szczególności w ustawach:</w:t>
      </w:r>
    </w:p>
    <w:p w:rsidR="007E2CBE" w:rsidRPr="00025749" w:rsidRDefault="007E2CBE" w:rsidP="00025749">
      <w:pPr>
        <w:pStyle w:val="Akapitzlist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749">
        <w:rPr>
          <w:rFonts w:ascii="Verdana" w:eastAsia="Times New Roman" w:hAnsi="Verdana" w:cs="Times New Roman"/>
          <w:sz w:val="24"/>
          <w:szCs w:val="24"/>
          <w:lang w:eastAsia="pl-PL"/>
        </w:rPr>
        <w:t>rolnictwie ekologicznym,</w:t>
      </w:r>
    </w:p>
    <w:p w:rsidR="007E2CBE" w:rsidRPr="007E2CBE" w:rsidRDefault="007E2CBE" w:rsidP="007E2CBE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o organizacji rynków owoców i warzyw oraz rynku chmielu,</w:t>
      </w:r>
    </w:p>
    <w:p w:rsidR="007E2CBE" w:rsidRPr="007E2CBE" w:rsidRDefault="007E2CBE" w:rsidP="007E2CBE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o wyrobie i rozlewie wyrobów winiarskich, obrocie tymi wyrobami i organizacji</w:t>
      </w:r>
    </w:p>
    <w:p w:rsidR="007E2CBE" w:rsidRPr="007E2CBE" w:rsidRDefault="007E2CBE" w:rsidP="00FF1FE3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o rejestracji i ochronie nazw i oznaczeń produktów rolnych i środków spożywczych oraz o produktach tradycyjnych.</w:t>
      </w:r>
      <w:bookmarkStart w:id="0" w:name="_GoBack"/>
      <w:bookmarkEnd w:id="0"/>
    </w:p>
    <w:p w:rsidR="007E2CBE" w:rsidRPr="007E2CBE" w:rsidRDefault="007E2CBE" w:rsidP="007E2CB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CBE">
        <w:rPr>
          <w:rFonts w:ascii="Verdana" w:eastAsia="Times New Roman" w:hAnsi="Verdana" w:cs="Times New Roman"/>
          <w:sz w:val="24"/>
          <w:szCs w:val="24"/>
          <w:lang w:eastAsia="pl-PL"/>
        </w:rPr>
        <w:t>(Podstawa prawna: ustawa z dnia 21 grudnia 2000 r. o jakości handlowej artykułów rolno-spożywczych - Dz. U. z 2021 r. poz. 630).</w:t>
      </w:r>
    </w:p>
    <w:sectPr w:rsidR="007E2CBE" w:rsidRPr="007E2C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31B74"/>
    <w:multiLevelType w:val="hybridMultilevel"/>
    <w:tmpl w:val="F398BF58"/>
    <w:lvl w:ilvl="0" w:tplc="0415000F">
      <w:start w:val="1"/>
      <w:numFmt w:val="decimal"/>
      <w:lvlText w:val="%1."/>
      <w:lvlJc w:val="left"/>
      <w:pPr>
        <w:ind w:left="72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7DD9"/>
    <w:multiLevelType w:val="multilevel"/>
    <w:tmpl w:val="86AAC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3201E6"/>
    <w:multiLevelType w:val="hybridMultilevel"/>
    <w:tmpl w:val="E3A4B8D2"/>
    <w:lvl w:ilvl="0" w:tplc="0415000F">
      <w:start w:val="1"/>
      <w:numFmt w:val="decimal"/>
      <w:lvlText w:val="%1."/>
      <w:lvlJc w:val="left"/>
      <w:pPr>
        <w:ind w:left="726" w:hanging="360"/>
      </w:pPr>
    </w:lvl>
    <w:lvl w:ilvl="1" w:tplc="04150019" w:tentative="1">
      <w:start w:val="1"/>
      <w:numFmt w:val="lowerLetter"/>
      <w:lvlText w:val="%2."/>
      <w:lvlJc w:val="left"/>
      <w:pPr>
        <w:ind w:left="1446" w:hanging="360"/>
      </w:pPr>
    </w:lvl>
    <w:lvl w:ilvl="2" w:tplc="0415001B" w:tentative="1">
      <w:start w:val="1"/>
      <w:numFmt w:val="lowerRoman"/>
      <w:lvlText w:val="%3."/>
      <w:lvlJc w:val="righ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6" w:hanging="360"/>
      </w:pPr>
    </w:lvl>
    <w:lvl w:ilvl="4" w:tplc="04150019" w:tentative="1">
      <w:start w:val="1"/>
      <w:numFmt w:val="lowerLetter"/>
      <w:lvlText w:val="%5."/>
      <w:lvlJc w:val="left"/>
      <w:pPr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3" w15:restartNumberingAfterBreak="0">
    <w:nsid w:val="1B193E91"/>
    <w:multiLevelType w:val="multilevel"/>
    <w:tmpl w:val="75BE7650"/>
    <w:lvl w:ilvl="0">
      <w:start w:val="2"/>
      <w:numFmt w:val="decimal"/>
      <w:lvlText w:val="%1."/>
      <w:lvlJc w:val="left"/>
      <w:pPr>
        <w:tabs>
          <w:tab w:val="num" w:pos="720"/>
        </w:tabs>
        <w:ind w:left="357" w:firstLine="3"/>
      </w:pPr>
      <w:rPr>
        <w:rFonts w:ascii="Verdana" w:hAnsi="Verdan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1DD9365E"/>
    <w:multiLevelType w:val="hybridMultilevel"/>
    <w:tmpl w:val="E7F6771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23236D"/>
    <w:multiLevelType w:val="multilevel"/>
    <w:tmpl w:val="75BE7650"/>
    <w:lvl w:ilvl="0">
      <w:start w:val="2"/>
      <w:numFmt w:val="decimal"/>
      <w:lvlText w:val="%1."/>
      <w:lvlJc w:val="left"/>
      <w:pPr>
        <w:tabs>
          <w:tab w:val="num" w:pos="363"/>
        </w:tabs>
        <w:ind w:left="0" w:firstLine="3"/>
      </w:pPr>
      <w:rPr>
        <w:rFonts w:ascii="Verdana" w:hAnsi="Verdana" w:hint="default"/>
      </w:rPr>
    </w:lvl>
    <w:lvl w:ilvl="1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  <w:rPr>
        <w:rFonts w:hint="default"/>
      </w:rPr>
    </w:lvl>
  </w:abstractNum>
  <w:abstractNum w:abstractNumId="6" w15:restartNumberingAfterBreak="0">
    <w:nsid w:val="27BE59BB"/>
    <w:multiLevelType w:val="hybridMultilevel"/>
    <w:tmpl w:val="2D50AEC0"/>
    <w:lvl w:ilvl="0" w:tplc="0415000F">
      <w:start w:val="1"/>
      <w:numFmt w:val="decimal"/>
      <w:lvlText w:val="%1."/>
      <w:lvlJc w:val="left"/>
      <w:pPr>
        <w:ind w:left="726" w:hanging="360"/>
      </w:pPr>
    </w:lvl>
    <w:lvl w:ilvl="1" w:tplc="04150019" w:tentative="1">
      <w:start w:val="1"/>
      <w:numFmt w:val="lowerLetter"/>
      <w:lvlText w:val="%2."/>
      <w:lvlJc w:val="left"/>
      <w:pPr>
        <w:ind w:left="1446" w:hanging="360"/>
      </w:pPr>
    </w:lvl>
    <w:lvl w:ilvl="2" w:tplc="0415001B" w:tentative="1">
      <w:start w:val="1"/>
      <w:numFmt w:val="lowerRoman"/>
      <w:lvlText w:val="%3."/>
      <w:lvlJc w:val="righ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6" w:hanging="360"/>
      </w:pPr>
    </w:lvl>
    <w:lvl w:ilvl="4" w:tplc="04150019" w:tentative="1">
      <w:start w:val="1"/>
      <w:numFmt w:val="lowerLetter"/>
      <w:lvlText w:val="%5."/>
      <w:lvlJc w:val="left"/>
      <w:pPr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7" w15:restartNumberingAfterBreak="0">
    <w:nsid w:val="32483ACB"/>
    <w:multiLevelType w:val="hybridMultilevel"/>
    <w:tmpl w:val="72F0CFD6"/>
    <w:lvl w:ilvl="0" w:tplc="0415000F">
      <w:start w:val="1"/>
      <w:numFmt w:val="decimal"/>
      <w:lvlText w:val="%1."/>
      <w:lvlJc w:val="left"/>
      <w:pPr>
        <w:ind w:left="72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C278E"/>
    <w:multiLevelType w:val="hybridMultilevel"/>
    <w:tmpl w:val="6E6452E6"/>
    <w:lvl w:ilvl="0" w:tplc="CC70824A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B5D76"/>
    <w:multiLevelType w:val="multilevel"/>
    <w:tmpl w:val="91609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EC7096"/>
    <w:multiLevelType w:val="multilevel"/>
    <w:tmpl w:val="F3C21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370389"/>
    <w:multiLevelType w:val="hybridMultilevel"/>
    <w:tmpl w:val="4BF0CE80"/>
    <w:lvl w:ilvl="0" w:tplc="4C78EA26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3"/>
    <w:lvlOverride w:ilvl="0">
      <w:startOverride w:val="3"/>
    </w:lvlOverride>
  </w:num>
  <w:num w:numId="5">
    <w:abstractNumId w:val="3"/>
    <w:lvlOverride w:ilvl="0">
      <w:startOverride w:val="4"/>
    </w:lvlOverride>
  </w:num>
  <w:num w:numId="6">
    <w:abstractNumId w:val="3"/>
    <w:lvlOverride w:ilvl="0">
      <w:startOverride w:val="5"/>
    </w:lvlOverride>
  </w:num>
  <w:num w:numId="7">
    <w:abstractNumId w:val="3"/>
    <w:lvlOverride w:ilvl="0">
      <w:startOverride w:val="6"/>
    </w:lvlOverride>
  </w:num>
  <w:num w:numId="8">
    <w:abstractNumId w:val="3"/>
    <w:lvlOverride w:ilvl="0">
      <w:startOverride w:val="7"/>
    </w:lvlOverride>
  </w:num>
  <w:num w:numId="9">
    <w:abstractNumId w:val="3"/>
    <w:lvlOverride w:ilvl="0">
      <w:startOverride w:val="8"/>
    </w:lvlOverride>
  </w:num>
  <w:num w:numId="10">
    <w:abstractNumId w:val="3"/>
    <w:lvlOverride w:ilvl="0">
      <w:startOverride w:val="9"/>
    </w:lvlOverride>
  </w:num>
  <w:num w:numId="11">
    <w:abstractNumId w:val="3"/>
    <w:lvlOverride w:ilvl="0">
      <w:startOverride w:val="10"/>
    </w:lvlOverride>
  </w:num>
  <w:num w:numId="12">
    <w:abstractNumId w:val="3"/>
    <w:lvlOverride w:ilvl="0">
      <w:startOverride w:val="11"/>
    </w:lvlOverride>
  </w:num>
  <w:num w:numId="13">
    <w:abstractNumId w:val="3"/>
    <w:lvlOverride w:ilvl="0">
      <w:startOverride w:val="12"/>
    </w:lvlOverride>
  </w:num>
  <w:num w:numId="14">
    <w:abstractNumId w:val="3"/>
    <w:lvlOverride w:ilvl="0">
      <w:startOverride w:val="13"/>
    </w:lvlOverride>
  </w:num>
  <w:num w:numId="15">
    <w:abstractNumId w:val="3"/>
    <w:lvlOverride w:ilvl="0">
      <w:startOverride w:val="14"/>
    </w:lvlOverride>
  </w:num>
  <w:num w:numId="16">
    <w:abstractNumId w:val="10"/>
  </w:num>
  <w:num w:numId="17">
    <w:abstractNumId w:val="11"/>
  </w:num>
  <w:num w:numId="18">
    <w:abstractNumId w:val="5"/>
  </w:num>
  <w:num w:numId="19">
    <w:abstractNumId w:val="6"/>
  </w:num>
  <w:num w:numId="20">
    <w:abstractNumId w:val="2"/>
  </w:num>
  <w:num w:numId="21">
    <w:abstractNumId w:val="0"/>
  </w:num>
  <w:num w:numId="22">
    <w:abstractNumId w:val="7"/>
  </w:num>
  <w:num w:numId="23">
    <w:abstractNumId w:val="8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CBE"/>
    <w:rsid w:val="00025749"/>
    <w:rsid w:val="00101C2C"/>
    <w:rsid w:val="00284587"/>
    <w:rsid w:val="007E2CBE"/>
    <w:rsid w:val="008B502A"/>
    <w:rsid w:val="00B55CB7"/>
    <w:rsid w:val="00D3068E"/>
    <w:rsid w:val="00E50E28"/>
    <w:rsid w:val="00F70145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2B288A-D040-4BA0-90FB-028A6F582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E2C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2CB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E2CB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0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1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455</Words>
  <Characters>2733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Zadania i kompetencje</vt:lpstr>
      <vt:lpstr>Zadania i kompetencje Inspekcji</vt:lpstr>
    </vt:vector>
  </TitlesOfParts>
  <Company/>
  <LinksUpToDate>false</LinksUpToDate>
  <CharactersWithSpaces>3182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Zadania i kompetencje</dc:title>
  <dc:subject/>
  <dc:creator>Renata</dc:creator>
  <cp:keywords>zakres działania, zadania, kompetencje</cp:keywords>
  <dc:description/>
  <cp:lastModifiedBy>Renata</cp:lastModifiedBy>
  <cp:revision>7</cp:revision>
  <cp:lastPrinted>2021-11-10T09:45:00Z</cp:lastPrinted>
  <dcterms:created xsi:type="dcterms:W3CDTF">2021-11-10T09:28:00Z</dcterms:created>
  <dcterms:modified xsi:type="dcterms:W3CDTF">2021-11-10T10:54:00Z</dcterms:modified>
</cp:coreProperties>
</file>